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jc w:val="center"/>
        <w:textAlignment w:val="auto"/>
        <w:rPr>
          <w:rFonts w:hint="eastAsia" w:ascii="方正小标宋_GBK" w:hAnsi="方正仿宋_GBK" w:eastAsia="方正小标宋_GBK" w:cs="方正仿宋_GBK"/>
          <w:kern w:val="0"/>
          <w:sz w:val="44"/>
          <w:szCs w:val="44"/>
          <w:shd w:val="clear" w:color="auto" w:fill="FFFFFF"/>
          <w:lang w:eastAsia="zh-CN" w:bidi="ar"/>
        </w:rPr>
      </w:pPr>
      <w:r>
        <w:rPr>
          <w:rFonts w:hint="eastAsia" w:ascii="方正小标宋_GBK" w:hAnsi="方正仿宋_GBK" w:eastAsia="方正小标宋_GBK" w:cs="方正仿宋_GBK"/>
          <w:kern w:val="0"/>
          <w:sz w:val="44"/>
          <w:szCs w:val="44"/>
          <w:shd w:val="clear" w:color="auto" w:fill="FFFFFF"/>
          <w:lang w:bidi="ar"/>
        </w:rPr>
        <w:t>奉节县</w:t>
      </w:r>
      <w:r>
        <w:rPr>
          <w:rFonts w:hint="eastAsia" w:ascii="方正小标宋_GBK" w:hAnsi="方正仿宋_GBK" w:eastAsia="方正小标宋_GBK" w:cs="方正仿宋_GBK"/>
          <w:kern w:val="0"/>
          <w:sz w:val="44"/>
          <w:szCs w:val="44"/>
          <w:shd w:val="clear" w:color="auto" w:fill="FFFFFF"/>
          <w:lang w:eastAsia="zh-CN" w:bidi="ar"/>
        </w:rPr>
        <w:t>商务委员会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jc w:val="center"/>
        <w:textAlignment w:val="auto"/>
        <w:rPr>
          <w:rFonts w:ascii="方正小标宋_GBK" w:hAnsi="方正仿宋_GBK" w:eastAsia="方正小标宋_GBK" w:cs="方正仿宋_GBK"/>
          <w:kern w:val="0"/>
          <w:sz w:val="44"/>
          <w:szCs w:val="44"/>
          <w:shd w:val="clear" w:color="auto" w:fill="FFFFFF"/>
          <w:lang w:bidi="ar"/>
        </w:rPr>
      </w:pPr>
      <w:bookmarkStart w:id="0" w:name="_GoBack"/>
      <w:r>
        <w:rPr>
          <w:rFonts w:hint="eastAsia" w:ascii="方正小标宋_GBK" w:hAnsi="方正仿宋_GBK" w:eastAsia="方正小标宋_GBK" w:cs="方正仿宋_GBK"/>
          <w:kern w:val="0"/>
          <w:sz w:val="44"/>
          <w:szCs w:val="44"/>
          <w:shd w:val="clear" w:color="auto" w:fill="FFFFFF"/>
          <w:lang w:val="en-US" w:eastAsia="zh-CN" w:bidi="ar"/>
        </w:rPr>
        <w:t>2021年度</w:t>
      </w:r>
      <w:r>
        <w:rPr>
          <w:rFonts w:hint="eastAsia" w:ascii="方正小标宋_GBK" w:hAnsi="方正仿宋_GBK" w:eastAsia="方正小标宋_GBK" w:cs="方正仿宋_GBK"/>
          <w:kern w:val="0"/>
          <w:sz w:val="44"/>
          <w:szCs w:val="44"/>
          <w:shd w:val="clear" w:color="auto" w:fill="FFFFFF"/>
          <w:lang w:bidi="ar"/>
        </w:rPr>
        <w:t>整体支出预算绩效自评报告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/>
        <w:jc w:val="left"/>
        <w:textAlignment w:val="auto"/>
        <w:rPr>
          <w:rFonts w:ascii="方正仿宋_GBK" w:hAnsi="Times New Roman" w:eastAsia="方正仿宋_GBK" w:cs="Times New Roman"/>
          <w:color w:val="000000"/>
          <w:kern w:val="0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黑体_GBK" w:hAnsi="方正黑体_GBK" w:eastAsia="方正黑体_GBK" w:cs="方正黑体_GBK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</w:rPr>
        <w:t>一、单位概况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楷体_GBK" w:hAnsi="方正楷体_GBK" w:eastAsia="方正楷体_GBK" w:cs="方正楷体_GBK"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sz w:val="32"/>
          <w:szCs w:val="32"/>
        </w:rPr>
        <w:t>（一）基本情况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2021年我单位预算编制范围包括：2021年我单位预算编制范围包括：商务委员会机关及所属事业单位、代管单位共计4个单位。将商务委员会作为一级预算单位，具体为县商务委，内设机构4个：办公室、市场科、电商科、商贸科；事业单位3个：商务信息中心、商务执法大队、贸促会。我单位核定人员编制数为32人（其中行政编制12人，事业编制20人），实际在职在岗27人，遗属补助8人。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商务执法大队公务用车编制数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1台，实际1台。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楷体_GBK" w:hAnsi="方正楷体_GBK" w:eastAsia="方正楷体_GBK" w:cs="方正楷体_GBK"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sz w:val="32"/>
          <w:szCs w:val="32"/>
          <w:lang w:eastAsia="zh-CN"/>
        </w:rPr>
        <w:t>（二）</w:t>
      </w:r>
      <w:r>
        <w:rPr>
          <w:rFonts w:hint="eastAsia" w:ascii="方正楷体_GBK" w:hAnsi="方正楷体_GBK" w:eastAsia="方正楷体_GBK" w:cs="方正楷体_GBK"/>
          <w:sz w:val="32"/>
          <w:szCs w:val="32"/>
        </w:rPr>
        <w:t>基本职责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 xml:space="preserve"> 1.贯彻执行国家有关商贸流通业、餐饮服务业的法律、法规、规章和方针政策；提出商贸流通业发展政策建议，制定全县商贸流通业发展目标规划和布局并组织实施；促进市场体系的建立和完善。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.负责推进商贸流通业发展，拟订开拓市场、促进消费的政策措施，提出培育商贸流通企业、促进商贸流通中小企业发展的政策建议，推动流通标准化和连锁经营、特许经营、物流配送、电子商务等现代流通方式的发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3.承担组织实施重要商品市场调控和流通管理工作；建立健全生活必需品市场供应应急管理机制，统计、监测、分析市场运行，商品供求状况；负责重要商品的储备管理工作；负责执行商贸流通业行业规范、行业标准和市场准入规则；承担指导各种经济成分商业的协调发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4.负责城乡商贸统筹发展工作，指导大宗产品批发市场规划和城乡商业网点规划，合理规划布局大型商场、大型市场建设项目；承担城乡统筹商贸网络建设工作，推进城乡市场体系建设。组织社会大流通，负责本县及外出和外地来奉举办大型商品交易、展览、展示活动的协调、组织和管理；引导开展各类促销活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5.承担牵头协调整顿和规范市场经济秩序工作。拟订规范市场运行、流通秩序的政策措施，推动商务领域信用建设，指导商业信用销售，建立市场诚信公共服务平台，负责商贸流通业的行政执法监管和商务举报投诉受理，参与打击商业欺诈等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6.承担商贸流通业监督管理工作。按有关规定对汽车流通、旧货流通、拍卖、典当、租赁、再生资源回收等行业进行监督管理；对辖区内散装水泥、酒类等重要商品经营进行监督管理。按有关规定对成品油流通进行监督管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7.负责推动商贸流通科技信息化建设，会同有关部门管理商贸流通各类业务资金、专项基金，组织、指导商贸流通业职工技能培训。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8.组织拟订电子商务发展政策、措施并组织实施；统筹完善电子商务支撑体系建设；推进电子商务领域合作与交流；推进农村电子商务发展。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9.负责统筹全县进出口贸易。组织实施和指导对外贸易促进体系建设和对外贸易促进活动。负责对外贸易统计和运行情况分析。指导企业开展国际化经营、对外贸易、经济合作、劳务合作；指导企业利用外资；监督检查外商投资企业执行有关法律法规和合同、章程的情况；管理和协调外商投诉工作。贯彻执行国家有关口岸、物流工作的方针政策和法律、法规；牵头推进全县口岸、仓储、物流工作，牵头拟订全县物流产业发展计划、中长期发展规划和政策措施；协调海关有关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10.负责机关、直属事业单位和行业社会组织党建工作。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11.代管中国国际贸易促进委员会重庆市奉节县委员会。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12.完成县委、县政府交办的其他任务。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楷体_GBK" w:hAnsi="方正楷体_GBK" w:eastAsia="方正楷体_GBK" w:cs="方正楷体_GBK"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sz w:val="32"/>
          <w:szCs w:val="32"/>
        </w:rPr>
        <w:t>（三）年度主要工作概述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2021年，全县社会消费品零售总额实现120.7亿元，同比增长28.1%，批发业销售额225.19亿元，增速23.1%；零售业销售额96.63亿元，增速27.8%；住宿业营业额9.8亿元，增速27.6%；餐饮业营业额17.1亿元，增速37.9%。全县已取得进出口备案登记证的企业50余家，近3年来有出口业务实绩的9家，2021年进出口总额2500万人民币，商贸行业对经济的贡献率和拉动力持续提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  <w:lang w:val="en-US" w:eastAsia="zh-CN"/>
        </w:rPr>
        <w:t>1.摸清行业家底，编制行业规划。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一是组织参与县内外商贸行业调研10余次，形成仓储物流、住宿业、成品油等调研报告3篇，摸清全县商贸行业的发展现状，找准基础设施、运营成本、市场主体、人才队伍等方面的差距。二是科学编制商贸服务业“十四五”规划，明确做大做强商贸服务、现代物流两大主导产业，确定“重庆服务业高质量改革创新试点县、渝东北高品质消费中心、渝陕鄂现代服务业高地”三大发展目标，提升发展文化旅游、房地产配套产业，积极培育信息服务、科技服务、健康服务、电子商务、会展及金融服务等N个新兴产业“2+3+N”工作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  <w:lang w:val="en-US" w:eastAsia="zh-CN"/>
        </w:rPr>
        <w:t>2.服务产业发展，助力乡村振兴。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一是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争取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农商互联完善农产品供应链系列项目资金640万元，带动企业年销售量增加30%以上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；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争取支持奉节脐橙和奉节腊肉全产业链建设资金1000万元，预计实现农产品增加值2亿元。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二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是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组织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参加西洽会、西博会等县外会展活动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5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次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，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审批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举办不夜奉节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·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渝悦消夏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等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县内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会展活动25次，带动旅游、餐饮、广告等服务行业销售额8000余万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，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农副产品销售额6000万以上。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三是培育“奉节腊肉”、“奉节橄榄油”2个地理标志证明商标，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申请注册“奉节呈礼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—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夔變、夔首腊乡”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等区域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公共品牌，建设12个网货供应基地，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指导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10家传统企业进行电商化转型。四是举办抖音·美好乡村计划系列活动，创建#美好乡村推荐官#官方话题，投稿作品超1.1万个，全网播放量突破4.4亿次。2021年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网络零售额预计实现15.37亿元，同比增长14.8%。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  <w:lang w:val="en-US" w:eastAsia="zh-CN"/>
        </w:rPr>
        <w:t>3.招好商引重资，推动行业发展。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一是赴北京、山东、成都、广东、上海等地开展招商活动10余次，先后对接新城控股、海基控股、吉之汇等20余家企业先后到奉节洽谈投资事宜。二是引进中健锦绣、山东尚武、聚力威、市华清源、山科酵爵等生产加工企业5家，引进维也纳、徐鼎盛等住餐企业2家，引进德州年亿、云间电子商务等内外贸易企业2家。三是培育本地乐雨、锦夔等4家企业建设腊肉加工厂7个，夔州冷链、兴夔实业等10余家企业发展冷链物流业。四是成功对接锦江集团，创新政企合作模式，盘活国有闲置房产，推动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住宿业高质量发展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zh-CN"/>
        </w:rPr>
      </w:pP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  <w:lang w:val="en-US" w:eastAsia="zh-CN"/>
        </w:rPr>
        <w:t>4.发展开放经济，拓宽销售渠道。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一是落实“服务管家”职责，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对外商投资企业（项目）提供全流程、全方位服务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，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引导企业注册外资企业智慧服务云平台，及时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zh-CN"/>
        </w:rPr>
        <w:t>办理解决企业反映困难问题和诉求，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举办外贸业务培训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1000余人次。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zh-CN"/>
        </w:rPr>
        <w:t>二是主动对接重庆、万州海关来奉调研，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了解奉节脐橙、眼镜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特色产业发展及出口情况，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论证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在奉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设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立保税仓可行性，签订合作备忘录，实现双方信息资源互换，共享共用，培育自营出口。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三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是积极开展招商引资和投资促进，积极引进云间电子商务科技有限公司开展跨境电商业务，支持特色产品“走出去”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，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助推脐橙、眼镜、腊肉产业集群发展。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  <w:lang w:val="en-US" w:eastAsia="zh-CN"/>
        </w:rPr>
        <w:t>5.消费提档升级，实现商旅联动。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一是进一步完善海成核心商圈服务功能，优化业态结构，促进品牌集聚，大力发展经营网点近4000个，年销售额25亿元，区域消费中心初具雏形。二是引进竹园“盬子鸡”旗舰店、徐鼎盛、迈阿密等品牌企业入驻夔门印像，初步形成夜市、美食和酒吧一条街，街区年营业额近2亿元，来往游客120万余人次，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消费集聚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作用凸显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。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三是注重美食品牌建设，规划打造“竹园盬子鸡”旗舰店1家、直营店5家，利用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校企合作平台，开发盬子鸡系列便携产品，丰富“后备箱”经济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；出台奉节县住宿行业高质量发展实施方案，配合拟定全域旅游奖补政策，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提升旅游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综合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配套服务能力和水平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  <w:lang w:val="en-US" w:eastAsia="zh-CN"/>
        </w:rPr>
        <w:t>6.疫情防控得力，稳定市场供应。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一是成立应急保供专项工作小组，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及时调度全县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15家保供企业和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50个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网点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物资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储备情况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，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建立全县生活物资运输车辆出入管理系统，开通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应急保供车辆通行证明18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62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份，确保全县生活物资稳定供应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。二是分组分片对商超、酒店、农贸市场等商贸流通企业进行常态化疫情防控督导检查，完成从业人员新冠疫苗接种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2590人，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协调临时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隔离点6个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，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启用隔离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房间数736个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，配合隔离入住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354人。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三是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摸排梳理农产品滞销情况，开展“抗疫战疫，消费有你”“奉节呈礼·爱心捐赠”活动，组织企事业单位消费农产品21万元，捐赠各类物资3094件；发挥渠道优势，充分利用线下传统销售渠道与电商平台，每日销售农产品1000余吨，助推农特产品上行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  <w:lang w:val="en-US" w:eastAsia="zh-CN"/>
        </w:rPr>
        <w:t>7.培育市场主体，壮大行业产业。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一是坚持服务企业“四到”十六条，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跟踪服务入库纳统商贸企业255家，收集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解决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融资、人才等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实际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问题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52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个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，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落实133家限上商贸企业补助266万元。二是完成6个商业综合体、3个农贸市场2000余户商户统计调查工作，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指导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帮助市场主体注册开办企业、完成税务登记、税务申报等升限前期工作，新增批零、住餐、居民服务等现代服务业企业1298家，限上企业104家。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楷体_GBK" w:hAnsi="方正楷体_GBK" w:eastAsia="方正楷体_GBK" w:cs="方正楷体_GBK"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sz w:val="32"/>
          <w:szCs w:val="32"/>
        </w:rPr>
        <w:t>（四）绩效目标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整体支出绩效目标申报及年中追加支出绩效目标情况：年初预算下达了整体支出绩效目标，由于年中追加了预算，对整体支出绩效目标进行了调整，我单位根据调整后的整体支出绩效目标开展了自评。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楷体_GBK" w:hAnsi="方正楷体_GBK" w:eastAsia="方正楷体_GBK" w:cs="方正楷体_GBK"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sz w:val="32"/>
          <w:szCs w:val="32"/>
        </w:rPr>
        <w:t>（五）年度预决算情况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我单位2021年初预算总收入为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721.89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万元，年中追加收入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2121.74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万元，全年总收入为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2843.63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万元；全年总支出为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2843.63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万元，其中：基本支出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777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万元（工资福利支出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433.94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万元、商品和服务支出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100.06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万元、对个人和家庭的补助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243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万元），项目支出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2066.63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1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.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年初预算收入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721.89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万元，其中：财政拨款收入年初预算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721.89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万元（一般公共预算收入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721.89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万元，政府基金预算收入0.00万元，国有资本经营收入预算0.00万元，社保基金预算收入0.00万元，其他收入0.00万元），年中追加专项资金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2121.74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万元（一般公共预算收入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55.11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万元，政府基金预算收入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0.00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万元，国有资本经营收入预算0.00万元，社保基金预算收入0.00万元，其他收入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2066.63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万元），共计收入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2843.63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2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.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年初预算支出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721.89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万元，基本支出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721.89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万元（工资福利支出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380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万元、商品和服务支出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98.89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万元、对个人和家庭的补助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243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万元），项目支出0.00万元；年中追加专项支出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2121.74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万元，共计支出为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2843.63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黑体_GBK" w:hAnsi="方正黑体_GBK" w:eastAsia="方正黑体_GBK" w:cs="方正黑体_GBK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</w:rPr>
        <w:t>二、整体支出管理及使用情况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楷体_GBK" w:hAnsi="方正楷体_GBK" w:eastAsia="方正楷体_GBK" w:cs="方正楷体_GBK"/>
          <w:sz w:val="32"/>
          <w:szCs w:val="32"/>
        </w:rPr>
        <w:t>（一）基本支出</w:t>
      </w:r>
      <w:r>
        <w:rPr>
          <w:rFonts w:hint="eastAsia" w:ascii="方正楷体_GBK" w:hAnsi="方正楷体_GBK" w:eastAsia="方正楷体_GBK" w:cs="方正楷体_GBK"/>
          <w:sz w:val="32"/>
          <w:szCs w:val="32"/>
          <w:lang w:eastAsia="zh-CN"/>
        </w:rPr>
        <w:t>。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2021年度基本支出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777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万元，其中：人员支出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676.94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万元，公用支出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100.06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万元。2021年“三公经费”支出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3.4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万元（预算为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6.3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万元）。其中：公务接待费2.2万元（预算为2.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3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万元），公务用车运行维护费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1.2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万元（预算为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4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.00万元）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sz w:val="32"/>
          <w:szCs w:val="32"/>
        </w:rPr>
        <w:t>（二）项目支出</w:t>
      </w:r>
      <w:r>
        <w:rPr>
          <w:rFonts w:hint="eastAsia" w:ascii="方正楷体_GBK" w:hAnsi="方正楷体_GBK" w:eastAsia="方正楷体_GBK" w:cs="方正楷体_GBK"/>
          <w:sz w:val="32"/>
          <w:szCs w:val="32"/>
          <w:lang w:eastAsia="zh-CN"/>
        </w:rPr>
        <w:t>。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2021年财政拨款项目支出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2066.63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万元，（其中：一般公共服务支出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758.65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万元，卫生健康支出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29.13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万元，农林水支出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31.86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万元，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保障性安居工程支出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484.35万元，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商业服务业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支出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732.01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万元，灾害防治及应急管理支出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30.63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万元）。 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黑体_GBK" w:hAnsi="方正黑体_GBK" w:eastAsia="方正黑体_GBK" w:cs="方正黑体_GBK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</w:rPr>
        <w:t>三、整体支出绩效情况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sz w:val="32"/>
          <w:szCs w:val="32"/>
        </w:rPr>
        <w:t>（一）财务管理制度建设情况</w:t>
      </w:r>
      <w:r>
        <w:rPr>
          <w:rFonts w:hint="eastAsia" w:ascii="方正楷体_GBK" w:hAnsi="方正楷体_GBK" w:eastAsia="方正楷体_GBK" w:cs="方正楷体_GBK"/>
          <w:sz w:val="32"/>
          <w:szCs w:val="32"/>
          <w:lang w:eastAsia="zh-CN"/>
        </w:rPr>
        <w:t>。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资金拨付严格按程序申报、审批，做到无审批不支出，无预算不列支，合理合规使用资金，确保财政资金安全。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sz w:val="32"/>
          <w:szCs w:val="32"/>
        </w:rPr>
        <w:t>（二）资产管理</w:t>
      </w:r>
      <w:r>
        <w:rPr>
          <w:rFonts w:hint="eastAsia" w:ascii="方正楷体_GBK" w:hAnsi="方正楷体_GBK" w:eastAsia="方正楷体_GBK" w:cs="方正楷体_GBK"/>
          <w:sz w:val="32"/>
          <w:szCs w:val="32"/>
          <w:lang w:eastAsia="zh-CN"/>
        </w:rPr>
        <w:t>。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资产管理方面，严格按照《重庆市市级行政事业单位国有资产处置管理办法》（渝财资产〔2013〕43号）规定，每年年末对资产进行清理，新购资产时向财政部门、主管部门申请，批复后再进行资产采购，并在资产管理系统中登记，按照要求及时报送资产情况报表，确保各项资产核算准确、帐实相符、管理到位；资产处置报财政部门、主管部门审批，办理资产报废手续，进行资产清理，处置收入上缴市级国库。无随意处置现象发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sz w:val="32"/>
          <w:szCs w:val="32"/>
        </w:rPr>
        <w:t>（三）预决算公开</w:t>
      </w:r>
      <w:r>
        <w:rPr>
          <w:rFonts w:hint="eastAsia" w:ascii="方正楷体_GBK" w:hAnsi="方正楷体_GBK" w:eastAsia="方正楷体_GBK" w:cs="方正楷体_GBK"/>
          <w:sz w:val="32"/>
          <w:szCs w:val="32"/>
          <w:lang w:eastAsia="zh-CN"/>
        </w:rPr>
        <w:t>。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在县人民政府门户网站上按时进行了预决算公开。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sz w:val="32"/>
          <w:szCs w:val="32"/>
        </w:rPr>
        <w:t>（四）“三公经费”控制情况</w:t>
      </w:r>
      <w:r>
        <w:rPr>
          <w:rFonts w:hint="eastAsia" w:ascii="方正楷体_GBK" w:hAnsi="方正楷体_GBK" w:eastAsia="方正楷体_GBK" w:cs="方正楷体_GBK"/>
          <w:sz w:val="32"/>
          <w:szCs w:val="32"/>
          <w:lang w:eastAsia="zh-CN"/>
        </w:rPr>
        <w:t>。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严格遵守各项规章制度，严控“三公”经费支出，2021年“三公经费”减少，并及时在县人民政府门户网站上对“三公”经费情况进行公示。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sz w:val="32"/>
          <w:szCs w:val="32"/>
        </w:rPr>
        <w:t>（五）政府采购情况</w:t>
      </w:r>
      <w:r>
        <w:rPr>
          <w:rFonts w:hint="eastAsia" w:ascii="方正楷体_GBK" w:hAnsi="方正楷体_GBK" w:eastAsia="方正楷体_GBK" w:cs="方正楷体_GBK"/>
          <w:sz w:val="32"/>
          <w:szCs w:val="32"/>
          <w:lang w:eastAsia="zh-CN"/>
        </w:rPr>
        <w:t>。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我单位2021年政府采购发生额为0.00万元。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sz w:val="32"/>
          <w:szCs w:val="32"/>
          <w:lang w:eastAsia="zh-CN"/>
        </w:rPr>
        <w:t>（六）</w:t>
      </w:r>
      <w:r>
        <w:rPr>
          <w:rFonts w:hint="eastAsia" w:ascii="方正楷体_GBK" w:hAnsi="方正楷体_GBK" w:eastAsia="方正楷体_GBK" w:cs="方正楷体_GBK"/>
          <w:sz w:val="32"/>
          <w:szCs w:val="32"/>
        </w:rPr>
        <w:t>认真履行职责情况</w:t>
      </w:r>
      <w:r>
        <w:rPr>
          <w:rFonts w:hint="eastAsia" w:ascii="方正楷体_GBK" w:hAnsi="方正楷体_GBK" w:eastAsia="方正楷体_GBK" w:cs="方正楷体_GBK"/>
          <w:sz w:val="32"/>
          <w:szCs w:val="32"/>
          <w:lang w:eastAsia="zh-CN"/>
        </w:rPr>
        <w:t>。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2021年年度考核为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合格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单位。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黑体_GBK" w:hAnsi="方正黑体_GBK" w:eastAsia="方正黑体_GBK" w:cs="方正黑体_GBK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  <w:lang w:eastAsia="zh-CN"/>
        </w:rPr>
        <w:t>四、</w:t>
      </w:r>
      <w:r>
        <w:rPr>
          <w:rFonts w:hint="eastAsia" w:ascii="方正黑体_GBK" w:hAnsi="方正黑体_GBK" w:eastAsia="方正黑体_GBK" w:cs="方正黑体_GBK"/>
          <w:sz w:val="32"/>
          <w:szCs w:val="32"/>
        </w:rPr>
        <w:t>评价结论及分析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通过认真开展单位整体支出绩效目标自评，综合评分9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9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分，评价结果为优。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楷体_GBK" w:hAnsi="方正楷体_GBK" w:eastAsia="方正楷体_GBK" w:cs="方正楷体_GBK"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sz w:val="32"/>
          <w:szCs w:val="32"/>
        </w:rPr>
        <w:t>（一）经济性分析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执行绩效评价体系，从以下几个方面提升了我单位的绩效工作：一是要加大支出管理。严格执行公务接待、公车管理及差旅费、会议费管理，坚持厉行节约，努力降低财政运行成本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；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二是严格预算约束做好增收节支，极力控制非生产性支出，降低行政运行成本，严肃财经纪律，坚决反对铺张浪费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；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三是加强预算执行，建立健全财政资金使用管理办法，促进资金使用效益；四是积极化解存量债务，严控政府性债务风险。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楷体_GBK" w:hAnsi="方正楷体_GBK" w:eastAsia="方正楷体_GBK" w:cs="方正楷体_GBK"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sz w:val="32"/>
          <w:szCs w:val="32"/>
        </w:rPr>
        <w:t>（二）效率性分析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2021年，通过财政资金绩效管理，加强了对财政资金使用的过程监督和成效监管，切实提高了财政资金使用效率。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楷体_GBK" w:hAnsi="方正楷体_GBK" w:eastAsia="方正楷体_GBK" w:cs="方正楷体_GBK"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sz w:val="32"/>
          <w:szCs w:val="32"/>
        </w:rPr>
        <w:t>（三）效益性分析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2021年，我单位的绩效评价工作在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领导班子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的坚强领导下，在社会各界的大力支持下，深入挖掘增收潜力，坚持稳增长、调结构、促改革、惠民生、防风险，各项支出得到较好保障，为建设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“高铁时代”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提供了坚强保障。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黑体_GBK" w:hAnsi="方正黑体_GBK" w:eastAsia="方正黑体_GBK" w:cs="方正黑体_GBK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</w:rPr>
        <w:t>五、存在的问题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我单位公务卡使用率较低，主要原因：持卡人消费意识不高，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单位职工报销票据需要一定期限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，但是财务不及时兑付影响个人信用记录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心理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黑体_GBK" w:hAnsi="方正黑体_GBK" w:eastAsia="方正黑体_GBK" w:cs="方正黑体_GBK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</w:rPr>
        <w:t>六、改进措施和有关建议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（一）细化预算编制工作，进一步加强内设机构的预算管理意识，严格按照预算编制的相关制度和要求进行预算编制。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（二）加强财务管理，严格财务审核。健全单位财务管理制度体系，规范单位财务行为。在费用报账支付时，按照预算规定的费用项目和用途进行资金使用审核、财务严格核算，杜绝超支现象发生。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（三）增加业务知识培训，加强决算工作与账务处理工作衔接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；加大公务卡宣传力度，鼓励职工出差使用公务卡支付结算。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120" w:firstLineChars="16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120" w:firstLineChars="16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奉节县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商务委员会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120" w:firstLineChars="16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2022年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5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月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21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</w:p>
    <w:sectPr>
      <w:footerReference r:id="rId3" w:type="default"/>
      <w:pgSz w:w="11906" w:h="16838"/>
      <w:pgMar w:top="2098" w:right="1474" w:bottom="1984" w:left="1587" w:header="851" w:footer="1474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7"/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autoSpaceDE/>
                            <w:autoSpaceDN/>
                            <w:bidi w:val="0"/>
                            <w:adjustRightInd/>
                            <w:snapToGrid w:val="0"/>
                            <w:ind w:left="210" w:leftChars="100" w:right="210" w:rightChars="100"/>
                            <w:textAlignment w:val="auto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7"/>
                      <w:keepNext w:val="0"/>
                      <w:keepLines w:val="0"/>
                      <w:pageBreakBefore w:val="0"/>
                      <w:widowControl w:val="0"/>
                      <w:kinsoku/>
                      <w:wordWrap/>
                      <w:overflowPunct/>
                      <w:topLinePunct w:val="0"/>
                      <w:autoSpaceDE/>
                      <w:autoSpaceDN/>
                      <w:bidi w:val="0"/>
                      <w:adjustRightInd/>
                      <w:snapToGrid w:val="0"/>
                      <w:ind w:left="210" w:leftChars="100" w:right="210" w:rightChars="100"/>
                      <w:textAlignment w:val="auto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k5MTNjNDQ5MDY0OGY4NmM2ODEzOWQ2ODUzNGZlYTgifQ=="/>
  </w:docVars>
  <w:rsids>
    <w:rsidRoot w:val="00E76675"/>
    <w:rsid w:val="00013B6F"/>
    <w:rsid w:val="00042239"/>
    <w:rsid w:val="00093A41"/>
    <w:rsid w:val="00106B82"/>
    <w:rsid w:val="0018371D"/>
    <w:rsid w:val="00205DF7"/>
    <w:rsid w:val="0027698B"/>
    <w:rsid w:val="00286129"/>
    <w:rsid w:val="002B5D7D"/>
    <w:rsid w:val="002E74AE"/>
    <w:rsid w:val="0033771C"/>
    <w:rsid w:val="00350769"/>
    <w:rsid w:val="00355160"/>
    <w:rsid w:val="00380897"/>
    <w:rsid w:val="003972B5"/>
    <w:rsid w:val="003D5B69"/>
    <w:rsid w:val="003E2A06"/>
    <w:rsid w:val="00420FCA"/>
    <w:rsid w:val="0042419B"/>
    <w:rsid w:val="00455DDE"/>
    <w:rsid w:val="004F6515"/>
    <w:rsid w:val="00554F08"/>
    <w:rsid w:val="00555E01"/>
    <w:rsid w:val="005627AE"/>
    <w:rsid w:val="0059196E"/>
    <w:rsid w:val="005A0A6C"/>
    <w:rsid w:val="005D69C3"/>
    <w:rsid w:val="005F4CFC"/>
    <w:rsid w:val="00602F34"/>
    <w:rsid w:val="0061340E"/>
    <w:rsid w:val="00625F75"/>
    <w:rsid w:val="00662375"/>
    <w:rsid w:val="00672C0F"/>
    <w:rsid w:val="00681E38"/>
    <w:rsid w:val="00697F47"/>
    <w:rsid w:val="006A3900"/>
    <w:rsid w:val="006D4043"/>
    <w:rsid w:val="006E3BB2"/>
    <w:rsid w:val="006F0652"/>
    <w:rsid w:val="00737046"/>
    <w:rsid w:val="0074264C"/>
    <w:rsid w:val="0079699B"/>
    <w:rsid w:val="007B407E"/>
    <w:rsid w:val="007D6753"/>
    <w:rsid w:val="0081688D"/>
    <w:rsid w:val="00820D04"/>
    <w:rsid w:val="00821515"/>
    <w:rsid w:val="00857500"/>
    <w:rsid w:val="0085789E"/>
    <w:rsid w:val="00880AF6"/>
    <w:rsid w:val="0088602F"/>
    <w:rsid w:val="008D0A27"/>
    <w:rsid w:val="00910471"/>
    <w:rsid w:val="00926B93"/>
    <w:rsid w:val="00984E79"/>
    <w:rsid w:val="009B7ADE"/>
    <w:rsid w:val="009E71C0"/>
    <w:rsid w:val="00A46455"/>
    <w:rsid w:val="00A5791D"/>
    <w:rsid w:val="00AA6B3C"/>
    <w:rsid w:val="00B850FE"/>
    <w:rsid w:val="00C02CD6"/>
    <w:rsid w:val="00C22E66"/>
    <w:rsid w:val="00C33215"/>
    <w:rsid w:val="00C617C5"/>
    <w:rsid w:val="00C62BB1"/>
    <w:rsid w:val="00C9630B"/>
    <w:rsid w:val="00CE0CF5"/>
    <w:rsid w:val="00CE456B"/>
    <w:rsid w:val="00CF475A"/>
    <w:rsid w:val="00D01D8F"/>
    <w:rsid w:val="00D17AE4"/>
    <w:rsid w:val="00D333B9"/>
    <w:rsid w:val="00D4204B"/>
    <w:rsid w:val="00D548A0"/>
    <w:rsid w:val="00D84EA7"/>
    <w:rsid w:val="00D91AB1"/>
    <w:rsid w:val="00D92EF5"/>
    <w:rsid w:val="00DA4807"/>
    <w:rsid w:val="00DD707A"/>
    <w:rsid w:val="00DE0514"/>
    <w:rsid w:val="00DE336D"/>
    <w:rsid w:val="00DF0488"/>
    <w:rsid w:val="00E06599"/>
    <w:rsid w:val="00E06675"/>
    <w:rsid w:val="00E66945"/>
    <w:rsid w:val="00E754A2"/>
    <w:rsid w:val="00E76675"/>
    <w:rsid w:val="00EE7FFB"/>
    <w:rsid w:val="00F63E2F"/>
    <w:rsid w:val="00FC2C0E"/>
    <w:rsid w:val="00FE781E"/>
    <w:rsid w:val="0B3E79A7"/>
    <w:rsid w:val="1704268F"/>
    <w:rsid w:val="1ABB2E84"/>
    <w:rsid w:val="1F1F58DA"/>
    <w:rsid w:val="1F425358"/>
    <w:rsid w:val="1F667D7E"/>
    <w:rsid w:val="34F158B7"/>
    <w:rsid w:val="48061E82"/>
    <w:rsid w:val="58BD4975"/>
    <w:rsid w:val="5A2C1932"/>
    <w:rsid w:val="62247FAE"/>
    <w:rsid w:val="71F349A4"/>
    <w:rsid w:val="74561564"/>
    <w:rsid w:val="7B050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0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qFormat="1"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link w:val="13"/>
    <w:qFormat/>
    <w:uiPriority w:val="0"/>
    <w:pPr>
      <w:jc w:val="left"/>
      <w:outlineLvl w:val="0"/>
    </w:pPr>
    <w:rPr>
      <w:rFonts w:hint="eastAsia" w:ascii="宋体" w:hAnsi="宋体" w:eastAsia="宋体" w:cs="Times New Roman"/>
      <w:b/>
      <w:bCs/>
      <w:kern w:val="44"/>
      <w:sz w:val="48"/>
      <w:szCs w:val="48"/>
    </w:rPr>
  </w:style>
  <w:style w:type="paragraph" w:styleId="4">
    <w:name w:val="heading 4"/>
    <w:basedOn w:val="1"/>
    <w:next w:val="1"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 w:eastAsia="宋体" w:cs="Times New Roman"/>
      <w:b/>
      <w:bCs/>
      <w:sz w:val="28"/>
      <w:szCs w:val="28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黑体" w:hAnsi="Calibri" w:eastAsia="黑体" w:cs="黑体"/>
      <w:color w:val="000000"/>
      <w:sz w:val="24"/>
      <w:szCs w:val="24"/>
      <w:lang w:val="en-US" w:eastAsia="zh-CN" w:bidi="ar-SA"/>
    </w:rPr>
  </w:style>
  <w:style w:type="paragraph" w:styleId="5">
    <w:name w:val="Body Text"/>
    <w:basedOn w:val="1"/>
    <w:next w:val="1"/>
    <w:link w:val="14"/>
    <w:qFormat/>
    <w:uiPriority w:val="0"/>
    <w:pPr>
      <w:spacing w:after="120"/>
    </w:pPr>
    <w:rPr>
      <w:szCs w:val="24"/>
    </w:rPr>
  </w:style>
  <w:style w:type="paragraph" w:styleId="6">
    <w:name w:val="toc 5"/>
    <w:basedOn w:val="1"/>
    <w:next w:val="1"/>
    <w:semiHidden/>
    <w:unhideWhenUsed/>
    <w:qFormat/>
    <w:uiPriority w:val="39"/>
    <w:pPr>
      <w:ind w:left="1680" w:leftChars="800"/>
    </w:pPr>
  </w:style>
  <w:style w:type="paragraph" w:styleId="7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1">
    <w:name w:val="页眉 字符"/>
    <w:basedOn w:val="10"/>
    <w:link w:val="8"/>
    <w:qFormat/>
    <w:uiPriority w:val="99"/>
    <w:rPr>
      <w:sz w:val="18"/>
      <w:szCs w:val="18"/>
    </w:rPr>
  </w:style>
  <w:style w:type="character" w:customStyle="1" w:styleId="12">
    <w:name w:val="页脚 字符"/>
    <w:basedOn w:val="10"/>
    <w:link w:val="7"/>
    <w:qFormat/>
    <w:uiPriority w:val="99"/>
    <w:rPr>
      <w:sz w:val="18"/>
      <w:szCs w:val="18"/>
    </w:rPr>
  </w:style>
  <w:style w:type="character" w:customStyle="1" w:styleId="13">
    <w:name w:val="标题 1 字符"/>
    <w:basedOn w:val="10"/>
    <w:link w:val="3"/>
    <w:qFormat/>
    <w:uiPriority w:val="0"/>
    <w:rPr>
      <w:rFonts w:ascii="宋体" w:hAnsi="宋体" w:eastAsia="宋体" w:cs="Times New Roman"/>
      <w:b/>
      <w:bCs/>
      <w:kern w:val="44"/>
      <w:sz w:val="48"/>
      <w:szCs w:val="48"/>
    </w:rPr>
  </w:style>
  <w:style w:type="character" w:customStyle="1" w:styleId="14">
    <w:name w:val="正文文本 字符"/>
    <w:basedOn w:val="10"/>
    <w:link w:val="5"/>
    <w:qFormat/>
    <w:uiPriority w:val="0"/>
    <w:rPr>
      <w:szCs w:val="24"/>
    </w:rPr>
  </w:style>
  <w:style w:type="paragraph" w:styleId="15">
    <w:name w:val="List Paragraph"/>
    <w:basedOn w:val="1"/>
    <w:qFormat/>
    <w:uiPriority w:val="34"/>
    <w:pPr>
      <w:ind w:firstLine="420" w:firstLineChars="200"/>
    </w:pPr>
  </w:style>
  <w:style w:type="character" w:customStyle="1" w:styleId="16">
    <w:name w:val="NormalCharacter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5041</Words>
  <Characters>5439</Characters>
  <Lines>38</Lines>
  <Paragraphs>10</Paragraphs>
  <TotalTime>8</TotalTime>
  <ScaleCrop>false</ScaleCrop>
  <LinksUpToDate>false</LinksUpToDate>
  <CharactersWithSpaces>5440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2022-04-04T04:43:00Z</dcterms:created>
  <dc:creator>Administrator</dc:creator>
  <cp:lastModifiedBy>毛毛虫</cp:lastModifiedBy>
  <cp:lastPrinted>2022-07-13T07:03:02Z</cp:lastPrinted>
  <dcterms:modified xsi:type="dcterms:W3CDTF">2022-07-13T07:15:44Z</dcterms:modified>
  <cp:revision>138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116B3F49C86944CFA34B6A42182043BA</vt:lpwstr>
  </property>
</Properties>
</file>